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ascii="Helvetica" w:hAnsi="Helvetica" w:cs="Helvetica" w:eastAsiaTheme="minorEastAsia"/>
          <w:color w:val="333333"/>
          <w:sz w:val="36"/>
          <w:szCs w:val="36"/>
          <w:shd w:val="clear" w:color="auto" w:fill="FFFFFF"/>
        </w:rPr>
      </w:pP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“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政法智能化建设创新案例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及论文</w:t>
      </w:r>
      <w:bookmarkStart w:id="0" w:name="_GoBack"/>
      <w:bookmarkEnd w:id="0"/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”征集活动</w:t>
      </w:r>
    </w:p>
    <w:p>
      <w:pPr>
        <w:pStyle w:val="2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/>
          <w:sz w:val="32"/>
          <w:szCs w:val="32"/>
        </w:rPr>
      </w:pPr>
      <w:r>
        <w:rPr>
          <w:rFonts w:ascii="Helvetica" w:hAnsi="Helvetica" w:eastAsia="Helvetica" w:cs="Helvetica"/>
          <w:color w:val="333333"/>
          <w:sz w:val="36"/>
          <w:szCs w:val="36"/>
          <w:shd w:val="clear" w:color="auto" w:fill="FFFFFF"/>
        </w:rPr>
        <w:t>创新案例申报须知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一、活动名称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“202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政法智能化建设创新案例”征集活动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二、组织机构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主办单位：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法治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日报社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三、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发布结果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本活动面向政法委、法院、检察院、公安、司法行政5个系统征集智能化建设创新案例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“智慧治理”创新案例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“智慧法院”创新案例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“智慧检务”创新案例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“智慧警务”创新案例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“智慧司法”创新案例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大脑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”创新案例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档案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”创新案例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四、评选流程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（一）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申报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条件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1.申报案例为政法单位联合企业、政法机关独立完成的政法智能化项目；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2.每个单位只能申报1个案例；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3.已经申报过的案例不准申报；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4.案例落地时间不超过5年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eastAsia="zh-CN" w:bidi="ar"/>
        </w:rPr>
        <w:t>。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（二）报名方式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报名表详见附件1《“政法智能化建设创新案例”征集活动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创新案例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报名表》，请于202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日前将报名材料提交至zfznh202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@126.com或拨打报名表上的电话咨询。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（三）评审办法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1.投票占比30%，通过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法治日报微信公众号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投票。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2.专家评审占比70%，由中央政法单位、基层政法单位相关负责人及科研院校、企业、媒体相关专家组成评审委员会进行综合考评。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五、其他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</w:rPr>
        <w:t>本次活动不收取任何费用。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0D1DB0"/>
    <w:rsid w:val="00B75617"/>
    <w:rsid w:val="021673B3"/>
    <w:rsid w:val="043143C0"/>
    <w:rsid w:val="05F73A71"/>
    <w:rsid w:val="062F3CD8"/>
    <w:rsid w:val="064B2DA5"/>
    <w:rsid w:val="0A797068"/>
    <w:rsid w:val="0BB514AB"/>
    <w:rsid w:val="0E2E2C97"/>
    <w:rsid w:val="12001D60"/>
    <w:rsid w:val="160550FF"/>
    <w:rsid w:val="17C047BE"/>
    <w:rsid w:val="182B1910"/>
    <w:rsid w:val="1B2C5654"/>
    <w:rsid w:val="1D0F30C3"/>
    <w:rsid w:val="2D6168A4"/>
    <w:rsid w:val="2D871245"/>
    <w:rsid w:val="2ED71083"/>
    <w:rsid w:val="2FF86064"/>
    <w:rsid w:val="31771ECE"/>
    <w:rsid w:val="31AC27C1"/>
    <w:rsid w:val="354B6BB8"/>
    <w:rsid w:val="395127B3"/>
    <w:rsid w:val="3C29683A"/>
    <w:rsid w:val="3CBA7DBA"/>
    <w:rsid w:val="3E173C8B"/>
    <w:rsid w:val="3EB8670C"/>
    <w:rsid w:val="3FE02159"/>
    <w:rsid w:val="43EE6DA6"/>
    <w:rsid w:val="582D77A1"/>
    <w:rsid w:val="5A395C1D"/>
    <w:rsid w:val="5C2D7387"/>
    <w:rsid w:val="5D8F5A53"/>
    <w:rsid w:val="5DF00C96"/>
    <w:rsid w:val="5E2253AC"/>
    <w:rsid w:val="63426CB5"/>
    <w:rsid w:val="6D535020"/>
    <w:rsid w:val="6F6A6E8C"/>
    <w:rsid w:val="6F78166F"/>
    <w:rsid w:val="77E4618E"/>
    <w:rsid w:val="7CD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444</Words>
  <Characters>479</Characters>
  <Lines>3</Lines>
  <Paragraphs>1</Paragraphs>
  <TotalTime>1</TotalTime>
  <ScaleCrop>false</ScaleCrop>
  <LinksUpToDate>false</LinksUpToDate>
  <CharactersWithSpaces>479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莫奈</cp:lastModifiedBy>
  <cp:lastPrinted>2022-03-25T02:36:11Z</cp:lastPrinted>
  <dcterms:modified xsi:type="dcterms:W3CDTF">2022-03-25T02:52:14Z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B3A46A1CFEC547F0BEC7C82AA7431F53</vt:lpwstr>
  </property>
</Properties>
</file>